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0B" w:rsidRDefault="0035300B" w:rsidP="0035300B">
      <w:pPr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35300B" w:rsidRPr="00193CC9" w:rsidRDefault="0035300B" w:rsidP="0035300B">
      <w:pPr>
        <w:contextualSpacing/>
        <w:jc w:val="center"/>
        <w:rPr>
          <w:rFonts w:ascii="Times New Roman" w:hAnsi="Times New Roman"/>
          <w:b/>
        </w:rPr>
      </w:pPr>
      <w:r w:rsidRPr="00193CC9">
        <w:rPr>
          <w:rFonts w:ascii="Times New Roman" w:hAnsi="Times New Roman"/>
          <w:b/>
        </w:rPr>
        <w:t>BSW LEARNING PLAN</w:t>
      </w:r>
    </w:p>
    <w:p w:rsidR="0035300B" w:rsidRPr="00193CC9" w:rsidRDefault="0035300B" w:rsidP="0035300B">
      <w:pPr>
        <w:contextualSpacing/>
        <w:jc w:val="center"/>
        <w:rPr>
          <w:rFonts w:ascii="Times New Roman" w:hAnsi="Times New Roman"/>
        </w:rPr>
      </w:pPr>
      <w:r w:rsidRPr="00193CC9">
        <w:rPr>
          <w:rFonts w:ascii="Times New Roman" w:hAnsi="Times New Roman"/>
        </w:rPr>
        <w:t>Western Illinois University</w:t>
      </w: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4C6E80" w:rsidRDefault="0035300B" w:rsidP="0035300B">
      <w:pPr>
        <w:contextualSpacing/>
        <w:rPr>
          <w:rFonts w:ascii="Times New Roman" w:hAnsi="Times New Roman"/>
          <w:b/>
          <w:smallCaps/>
          <w:u w:val="single"/>
        </w:rPr>
      </w:pPr>
      <w:r w:rsidRPr="004C6E80">
        <w:rPr>
          <w:rFonts w:ascii="Times New Roman" w:hAnsi="Times New Roman"/>
          <w:b/>
          <w:smallCaps/>
          <w:u w:val="single"/>
        </w:rPr>
        <w:t>Instructions:</w:t>
      </w:r>
    </w:p>
    <w:p w:rsidR="005A16CA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5B4BF8">
        <w:rPr>
          <w:rFonts w:ascii="Times New Roman" w:hAnsi="Times New Roman"/>
          <w:sz w:val="20"/>
          <w:szCs w:val="20"/>
        </w:rPr>
        <w:t xml:space="preserve">The student and the field instructor </w:t>
      </w:r>
      <w:r>
        <w:rPr>
          <w:rFonts w:ascii="Times New Roman" w:hAnsi="Times New Roman"/>
          <w:sz w:val="20"/>
          <w:szCs w:val="20"/>
        </w:rPr>
        <w:t>discuss and enter</w:t>
      </w:r>
      <w:r w:rsidRPr="005B4BF8">
        <w:rPr>
          <w:rFonts w:ascii="Times New Roman" w:hAnsi="Times New Roman"/>
          <w:sz w:val="20"/>
          <w:szCs w:val="20"/>
        </w:rPr>
        <w:t xml:space="preserve"> agency activities</w:t>
      </w:r>
      <w:r>
        <w:rPr>
          <w:rFonts w:ascii="Times New Roman" w:hAnsi="Times New Roman"/>
          <w:sz w:val="20"/>
          <w:szCs w:val="20"/>
        </w:rPr>
        <w:t xml:space="preserve"> (under the activity heading)</w:t>
      </w:r>
      <w:r w:rsidRPr="005B4BF8">
        <w:rPr>
          <w:rFonts w:ascii="Times New Roman" w:hAnsi="Times New Roman"/>
          <w:sz w:val="20"/>
          <w:szCs w:val="20"/>
        </w:rPr>
        <w:t xml:space="preserve"> the student will complete</w:t>
      </w:r>
      <w:r>
        <w:rPr>
          <w:rFonts w:ascii="Times New Roman" w:hAnsi="Times New Roman"/>
          <w:sz w:val="20"/>
          <w:szCs w:val="20"/>
        </w:rPr>
        <w:t xml:space="preserve"> during the semester</w:t>
      </w:r>
      <w:r w:rsidRPr="005B4BF8">
        <w:rPr>
          <w:rFonts w:ascii="Times New Roman" w:hAnsi="Times New Roman"/>
          <w:sz w:val="20"/>
          <w:szCs w:val="20"/>
        </w:rPr>
        <w:t xml:space="preserve"> that will demonstrate </w:t>
      </w:r>
      <w:r>
        <w:rPr>
          <w:rFonts w:ascii="Times New Roman" w:hAnsi="Times New Roman"/>
          <w:sz w:val="20"/>
          <w:szCs w:val="20"/>
        </w:rPr>
        <w:t xml:space="preserve">the student’s </w:t>
      </w:r>
      <w:r w:rsidRPr="005B4BF8">
        <w:rPr>
          <w:rFonts w:ascii="Times New Roman" w:hAnsi="Times New Roman"/>
          <w:sz w:val="20"/>
          <w:szCs w:val="20"/>
        </w:rPr>
        <w:t>competency for each practice behavior.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4BF8">
        <w:rPr>
          <w:rFonts w:ascii="Times New Roman" w:hAnsi="Times New Roman"/>
          <w:sz w:val="20"/>
          <w:szCs w:val="20"/>
        </w:rPr>
        <w:t xml:space="preserve">The student and field instructor will enter the </w:t>
      </w:r>
      <w:r>
        <w:rPr>
          <w:rFonts w:ascii="Times New Roman" w:hAnsi="Times New Roman"/>
          <w:sz w:val="20"/>
          <w:szCs w:val="20"/>
        </w:rPr>
        <w:t xml:space="preserve">target </w:t>
      </w:r>
      <w:r w:rsidRPr="005B4BF8">
        <w:rPr>
          <w:rFonts w:ascii="Times New Roman" w:hAnsi="Times New Roman"/>
          <w:sz w:val="20"/>
          <w:szCs w:val="20"/>
        </w:rPr>
        <w:t>date the student plans to complete the activity.</w:t>
      </w:r>
      <w:r>
        <w:rPr>
          <w:rFonts w:ascii="Times New Roman" w:hAnsi="Times New Roman"/>
          <w:sz w:val="20"/>
          <w:szCs w:val="20"/>
        </w:rPr>
        <w:t xml:space="preserve"> Remember, the date is only a “target” and may be modified based on activity. .</w:t>
      </w:r>
      <w:r w:rsidRPr="005B4BF8">
        <w:rPr>
          <w:rFonts w:ascii="Times New Roman" w:hAnsi="Times New Roman"/>
          <w:sz w:val="20"/>
          <w:szCs w:val="20"/>
        </w:rPr>
        <w:t>At mid and end of the semester, the field instructor(s) will evaluate the student’s level of competency demonstrated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5B4BF8">
        <w:rPr>
          <w:rFonts w:ascii="Times New Roman" w:hAnsi="Times New Roman"/>
          <w:sz w:val="20"/>
          <w:szCs w:val="20"/>
        </w:rPr>
        <w:t xml:space="preserve">Field instructors </w:t>
      </w:r>
      <w:r w:rsidR="007725A0">
        <w:rPr>
          <w:rFonts w:ascii="Times New Roman" w:hAnsi="Times New Roman"/>
          <w:sz w:val="20"/>
          <w:szCs w:val="20"/>
        </w:rPr>
        <w:t xml:space="preserve">may </w:t>
      </w:r>
      <w:r w:rsidRPr="005B4BF8">
        <w:rPr>
          <w:rFonts w:ascii="Times New Roman" w:hAnsi="Times New Roman"/>
          <w:sz w:val="20"/>
          <w:szCs w:val="20"/>
        </w:rPr>
        <w:t xml:space="preserve">enter their evaluation ratings for the student in the appropriate column on the far right using the numerical rating scale provided </w:t>
      </w:r>
      <w:r>
        <w:rPr>
          <w:rFonts w:ascii="Times New Roman" w:hAnsi="Times New Roman"/>
          <w:sz w:val="20"/>
          <w:szCs w:val="20"/>
        </w:rPr>
        <w:t>below</w:t>
      </w:r>
      <w:r w:rsidRPr="005B4BF8">
        <w:rPr>
          <w:rFonts w:ascii="Times New Roman" w:hAnsi="Times New Roman"/>
          <w:sz w:val="20"/>
          <w:szCs w:val="20"/>
        </w:rPr>
        <w:t xml:space="preserve">. </w:t>
      </w:r>
      <w:r w:rsidR="007725A0">
        <w:rPr>
          <w:rFonts w:ascii="Times New Roman" w:hAnsi="Times New Roman"/>
          <w:sz w:val="20"/>
          <w:szCs w:val="20"/>
        </w:rPr>
        <w:t xml:space="preserve">This score serves as a guide for the field instructor when completing the formal midterm and final evaluation of the student.  </w:t>
      </w:r>
      <w:r>
        <w:rPr>
          <w:rFonts w:ascii="Times New Roman" w:hAnsi="Times New Roman"/>
          <w:sz w:val="20"/>
          <w:szCs w:val="20"/>
        </w:rPr>
        <w:t>The field instructor may complete this section with the student’s own evaluation of h</w:t>
      </w:r>
      <w:r w:rsidR="000212AF">
        <w:rPr>
          <w:rFonts w:ascii="Times New Roman" w:hAnsi="Times New Roman"/>
          <w:sz w:val="20"/>
          <w:szCs w:val="20"/>
        </w:rPr>
        <w:t xml:space="preserve">is or her level of competency. </w:t>
      </w:r>
    </w:p>
    <w:p w:rsidR="007725A0" w:rsidRDefault="007725A0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BE681F">
        <w:rPr>
          <w:rFonts w:ascii="Times New Roman" w:hAnsi="Times New Roman"/>
          <w:b/>
          <w:sz w:val="20"/>
          <w:szCs w:val="20"/>
        </w:rPr>
        <w:t xml:space="preserve">The student and the field instructor will print the document, sign and date in the appropriate line on the final page of this document. </w:t>
      </w:r>
      <w:r>
        <w:rPr>
          <w:rFonts w:ascii="Times New Roman" w:hAnsi="Times New Roman"/>
          <w:sz w:val="20"/>
          <w:szCs w:val="20"/>
        </w:rPr>
        <w:t>The student</w:t>
      </w:r>
      <w:r w:rsidRPr="005B4B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field instructor </w:t>
      </w:r>
      <w:r w:rsidRPr="005B4BF8">
        <w:rPr>
          <w:rFonts w:ascii="Times New Roman" w:hAnsi="Times New Roman"/>
          <w:sz w:val="20"/>
          <w:szCs w:val="20"/>
        </w:rPr>
        <w:t>should keep a copy of the learning plan.</w:t>
      </w:r>
      <w:r>
        <w:rPr>
          <w:rFonts w:ascii="Times New Roman" w:hAnsi="Times New Roman"/>
          <w:sz w:val="20"/>
          <w:szCs w:val="20"/>
        </w:rPr>
        <w:t xml:space="preserve"> The final learning plan will be included in the student’s file at the end of the semester. </w:t>
      </w:r>
      <w:r w:rsidRPr="005B4BF8">
        <w:rPr>
          <w:rFonts w:ascii="Times New Roman" w:hAnsi="Times New Roman"/>
          <w:sz w:val="20"/>
          <w:szCs w:val="20"/>
        </w:rPr>
        <w:t>The student submits the learning plan to the faculty liaison for review at week 3</w:t>
      </w:r>
      <w:r>
        <w:rPr>
          <w:rFonts w:ascii="Times New Roman" w:hAnsi="Times New Roman"/>
          <w:sz w:val="20"/>
          <w:szCs w:val="20"/>
        </w:rPr>
        <w:t xml:space="preserve">. The student submits the final learning plan to the faculty liaison </w:t>
      </w:r>
      <w:r w:rsidR="00826CFC">
        <w:rPr>
          <w:rFonts w:ascii="Times New Roman" w:hAnsi="Times New Roman"/>
          <w:sz w:val="20"/>
          <w:szCs w:val="20"/>
        </w:rPr>
        <w:t>on the</w:t>
      </w:r>
      <w:r w:rsidR="007725A0">
        <w:rPr>
          <w:rFonts w:ascii="Times New Roman" w:hAnsi="Times New Roman"/>
          <w:sz w:val="20"/>
          <w:szCs w:val="20"/>
        </w:rPr>
        <w:t xml:space="preserve"> designated due date listed in the syllabus</w:t>
      </w:r>
      <w:r w:rsidRPr="005B4BF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The student may continue to add to the learning plan, as appropriate, until the end of the practicum.</w:t>
      </w:r>
    </w:p>
    <w:p w:rsidR="005A16CA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field instructor is asked to evaluate the student’s competency progress based on the evaluation rating scale below.</w:t>
      </w: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5B4BF8">
        <w:rPr>
          <w:rFonts w:ascii="Times New Roman" w:hAnsi="Times New Roman"/>
          <w:sz w:val="20"/>
          <w:szCs w:val="20"/>
        </w:rPr>
        <w:t>1-2</w:t>
      </w:r>
      <w:r>
        <w:rPr>
          <w:rFonts w:ascii="Times New Roman" w:hAnsi="Times New Roman"/>
          <w:sz w:val="20"/>
          <w:szCs w:val="20"/>
        </w:rPr>
        <w:tab/>
        <w:t>Lacking Performance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The</w:t>
      </w:r>
      <w:proofErr w:type="gramEnd"/>
      <w:r>
        <w:rPr>
          <w:rFonts w:ascii="Times New Roman" w:hAnsi="Times New Roman"/>
          <w:sz w:val="20"/>
          <w:szCs w:val="20"/>
        </w:rPr>
        <w:t xml:space="preserve"> practicum </w:t>
      </w:r>
      <w:r w:rsidRPr="005B4BF8">
        <w:rPr>
          <w:rFonts w:ascii="Times New Roman" w:hAnsi="Times New Roman"/>
          <w:sz w:val="20"/>
          <w:szCs w:val="20"/>
        </w:rPr>
        <w:t xml:space="preserve">student has not demonstrated application of the knowledge, values and skills related to the </w:t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>performance of the practice behavior.</w:t>
      </w: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5B4BF8">
        <w:rPr>
          <w:rFonts w:ascii="Times New Roman" w:hAnsi="Times New Roman"/>
          <w:sz w:val="20"/>
          <w:szCs w:val="20"/>
        </w:rPr>
        <w:t>3-4</w:t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Insufficient</w:t>
      </w:r>
      <w:r w:rsidRPr="005B4BF8">
        <w:rPr>
          <w:rFonts w:ascii="Times New Roman" w:hAnsi="Times New Roman"/>
          <w:sz w:val="20"/>
          <w:szCs w:val="20"/>
        </w:rPr>
        <w:t xml:space="preserve"> Performance</w:t>
      </w:r>
      <w:r w:rsidRPr="005B4BF8">
        <w:rPr>
          <w:rFonts w:ascii="Times New Roman" w:hAnsi="Times New Roman"/>
          <w:sz w:val="20"/>
          <w:szCs w:val="20"/>
        </w:rPr>
        <w:tab/>
      </w:r>
      <w:proofErr w:type="gramStart"/>
      <w:r w:rsidRPr="005B4BF8">
        <w:rPr>
          <w:rFonts w:ascii="Times New Roman" w:hAnsi="Times New Roman"/>
          <w:sz w:val="20"/>
          <w:szCs w:val="20"/>
        </w:rPr>
        <w:t>The</w:t>
      </w:r>
      <w:proofErr w:type="gramEnd"/>
      <w:r w:rsidRPr="005B4B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practicum </w:t>
      </w:r>
      <w:r w:rsidRPr="005B4BF8">
        <w:rPr>
          <w:rFonts w:ascii="Times New Roman" w:hAnsi="Times New Roman"/>
          <w:sz w:val="20"/>
          <w:szCs w:val="20"/>
        </w:rPr>
        <w:t xml:space="preserve">student shows beginning application of the knowledge, </w:t>
      </w:r>
      <w:r w:rsidR="00826CFC">
        <w:rPr>
          <w:rFonts w:ascii="Times New Roman" w:hAnsi="Times New Roman"/>
          <w:sz w:val="20"/>
          <w:szCs w:val="20"/>
        </w:rPr>
        <w:t>values and</w:t>
      </w:r>
      <w:r w:rsidR="007725A0">
        <w:rPr>
          <w:rFonts w:ascii="Times New Roman" w:hAnsi="Times New Roman"/>
          <w:sz w:val="20"/>
          <w:szCs w:val="20"/>
        </w:rPr>
        <w:t xml:space="preserve"> </w:t>
      </w:r>
      <w:r w:rsidRPr="005B4BF8">
        <w:rPr>
          <w:rFonts w:ascii="Times New Roman" w:hAnsi="Times New Roman"/>
          <w:sz w:val="20"/>
          <w:szCs w:val="20"/>
        </w:rPr>
        <w:t xml:space="preserve">skills, related to the </w:t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>performance of the practice behavior.</w:t>
      </w: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5B4BF8">
        <w:rPr>
          <w:rFonts w:ascii="Times New Roman" w:hAnsi="Times New Roman"/>
          <w:sz w:val="20"/>
          <w:szCs w:val="20"/>
        </w:rPr>
        <w:t>5-6</w:t>
      </w:r>
      <w:r w:rsidRPr="005B4BF8">
        <w:rPr>
          <w:rFonts w:ascii="Times New Roman" w:hAnsi="Times New Roman"/>
          <w:sz w:val="20"/>
          <w:szCs w:val="20"/>
        </w:rPr>
        <w:tab/>
        <w:t>C</w:t>
      </w:r>
      <w:r>
        <w:rPr>
          <w:rFonts w:ascii="Times New Roman" w:hAnsi="Times New Roman"/>
          <w:sz w:val="20"/>
          <w:szCs w:val="20"/>
        </w:rPr>
        <w:t>ompetent Performance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The</w:t>
      </w:r>
      <w:proofErr w:type="gramEnd"/>
      <w:r>
        <w:rPr>
          <w:rFonts w:ascii="Times New Roman" w:hAnsi="Times New Roman"/>
          <w:sz w:val="20"/>
          <w:szCs w:val="20"/>
        </w:rPr>
        <w:t xml:space="preserve"> practicum </w:t>
      </w:r>
      <w:r w:rsidRPr="005B4BF8">
        <w:rPr>
          <w:rFonts w:ascii="Times New Roman" w:hAnsi="Times New Roman"/>
          <w:sz w:val="20"/>
          <w:szCs w:val="20"/>
        </w:rPr>
        <w:t xml:space="preserve">student shows competent application of the knowledge, values, and skills related to the </w:t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>performance of the practice behavior.</w:t>
      </w: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5B4BF8">
        <w:rPr>
          <w:rFonts w:ascii="Times New Roman" w:hAnsi="Times New Roman"/>
          <w:sz w:val="20"/>
          <w:szCs w:val="20"/>
        </w:rPr>
        <w:t>7-8</w:t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Superior Performance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The</w:t>
      </w:r>
      <w:proofErr w:type="gramEnd"/>
      <w:r>
        <w:rPr>
          <w:rFonts w:ascii="Times New Roman" w:hAnsi="Times New Roman"/>
          <w:sz w:val="20"/>
          <w:szCs w:val="20"/>
        </w:rPr>
        <w:t xml:space="preserve"> practicum </w:t>
      </w:r>
      <w:r w:rsidRPr="005B4BF8">
        <w:rPr>
          <w:rFonts w:ascii="Times New Roman" w:hAnsi="Times New Roman"/>
          <w:sz w:val="20"/>
          <w:szCs w:val="20"/>
        </w:rPr>
        <w:t xml:space="preserve">student shows superior application of the knowledge, values, and skills related to the </w:t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 xml:space="preserve">performance of </w:t>
      </w:r>
      <w:r>
        <w:rPr>
          <w:rFonts w:ascii="Times New Roman" w:hAnsi="Times New Roman"/>
          <w:sz w:val="20"/>
          <w:szCs w:val="20"/>
        </w:rPr>
        <w:t>the</w:t>
      </w:r>
      <w:r w:rsidRPr="005B4BF8">
        <w:rPr>
          <w:rFonts w:ascii="Times New Roman" w:hAnsi="Times New Roman"/>
          <w:sz w:val="20"/>
          <w:szCs w:val="20"/>
        </w:rPr>
        <w:t xml:space="preserve"> practice behavior.</w:t>
      </w: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Default="005A16CA" w:rsidP="005A16CA">
      <w:pPr>
        <w:contextualSpacing/>
        <w:rPr>
          <w:rFonts w:ascii="Times New Roman" w:hAnsi="Times New Roman"/>
          <w:sz w:val="20"/>
          <w:szCs w:val="20"/>
        </w:rPr>
      </w:pPr>
      <w:r w:rsidRPr="005B4BF8">
        <w:rPr>
          <w:rFonts w:ascii="Times New Roman" w:hAnsi="Times New Roman"/>
          <w:sz w:val="20"/>
          <w:szCs w:val="20"/>
        </w:rPr>
        <w:t>9</w:t>
      </w:r>
      <w:r w:rsidRPr="005B4B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Mastered Performance</w:t>
      </w:r>
      <w:r>
        <w:rPr>
          <w:rFonts w:ascii="Times New Roman" w:hAnsi="Times New Roman"/>
          <w:sz w:val="20"/>
          <w:szCs w:val="20"/>
        </w:rPr>
        <w:tab/>
        <w:t xml:space="preserve">The practicum </w:t>
      </w:r>
      <w:r w:rsidRPr="005B4BF8">
        <w:rPr>
          <w:rFonts w:ascii="Times New Roman" w:hAnsi="Times New Roman"/>
          <w:sz w:val="20"/>
          <w:szCs w:val="20"/>
        </w:rPr>
        <w:t>student shows effective and innovative application of the knowledge, values, and skills related to the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B4BF8">
        <w:rPr>
          <w:rFonts w:ascii="Times New Roman" w:hAnsi="Times New Roman"/>
          <w:sz w:val="20"/>
          <w:szCs w:val="20"/>
        </w:rPr>
        <w:t>performance of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4BF8">
        <w:rPr>
          <w:rFonts w:ascii="Times New Roman" w:hAnsi="Times New Roman"/>
          <w:sz w:val="20"/>
          <w:szCs w:val="20"/>
        </w:rPr>
        <w:t>practice behavior.</w:t>
      </w:r>
    </w:p>
    <w:p w:rsidR="005A16CA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5A16CA" w:rsidRPr="005B4BF8" w:rsidRDefault="005A16CA" w:rsidP="005A16CA">
      <w:pPr>
        <w:contextualSpacing/>
        <w:rPr>
          <w:rFonts w:ascii="Times New Roman" w:hAnsi="Times New Roman"/>
          <w:sz w:val="20"/>
          <w:szCs w:val="20"/>
        </w:rPr>
      </w:pPr>
    </w:p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pPr w:leftFromText="144" w:rightFromText="144" w:vertAnchor="text" w:tblpX="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73"/>
      </w:tblGrid>
      <w:tr w:rsidR="0035300B" w:rsidRPr="006A7047" w:rsidTr="00BA4B57">
        <w:tc>
          <w:tcPr>
            <w:tcW w:w="14321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1:  Identify as a professional social worker and conduct </w:t>
            </w:r>
            <w:proofErr w:type="gramStart"/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>oneself</w:t>
            </w:r>
            <w:proofErr w:type="gramEnd"/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accordingly.  </w:t>
            </w:r>
          </w:p>
        </w:tc>
      </w:tr>
      <w:tr w:rsidR="0035300B" w:rsidRPr="006A7047" w:rsidTr="00BA4B57">
        <w:trPr>
          <w:trHeight w:val="488"/>
        </w:trPr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rPr>
          <w:trHeight w:val="727"/>
        </w:trPr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Advocate for client access to the services of social work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rPr>
          <w:trHeight w:val="700"/>
        </w:trPr>
        <w:tc>
          <w:tcPr>
            <w:tcW w:w="2898" w:type="dxa"/>
            <w:shd w:val="clear" w:color="auto" w:fill="auto"/>
          </w:tcPr>
          <w:p w:rsidR="0035300B" w:rsidRPr="006A7047" w:rsidRDefault="001403B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4BF8">
              <w:rPr>
                <w:rFonts w:ascii="Times New Roman" w:hAnsi="Times New Roman"/>
                <w:sz w:val="20"/>
                <w:szCs w:val="20"/>
              </w:rPr>
              <w:t>Practice personal reflection and self-correction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assure continual professional development</w:t>
            </w:r>
            <w:r w:rsidRPr="005B4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Attend to professional roles and boundaries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rPr>
          <w:trHeight w:val="917"/>
        </w:trPr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Demonstrate professional demeanor in behavior, appearance, and communication.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Engage in career-long learning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Use supervision and consultation.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0212AF" w:rsidRPr="002C4B5A" w:rsidRDefault="000212AF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2:  Apply social work ethical principles to guide professional practice.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rPr>
          <w:trHeight w:val="746"/>
        </w:trPr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Recognize and manage personal value in a way that allows professional values to guide practice.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rPr>
          <w:trHeight w:val="989"/>
        </w:trPr>
        <w:tc>
          <w:tcPr>
            <w:tcW w:w="2898" w:type="dxa"/>
            <w:shd w:val="clear" w:color="auto" w:fill="auto"/>
          </w:tcPr>
          <w:p w:rsidR="0035300B" w:rsidRPr="006A7047" w:rsidRDefault="001403B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4BF8">
              <w:rPr>
                <w:rFonts w:ascii="Times New Roman" w:hAnsi="Times New Roman"/>
                <w:sz w:val="20"/>
                <w:szCs w:val="20"/>
              </w:rPr>
              <w:t xml:space="preserve">Make ethical decisions by applying NASW </w:t>
            </w:r>
            <w:r>
              <w:rPr>
                <w:rFonts w:ascii="Times New Roman" w:hAnsi="Times New Roman"/>
                <w:sz w:val="20"/>
                <w:szCs w:val="20"/>
              </w:rPr>
              <w:t>Code of Ethics and, as applicable, of the International Federation of Social Workers/</w:t>
            </w:r>
            <w:r w:rsidRPr="005B4BF8">
              <w:rPr>
                <w:rFonts w:ascii="Times New Roman" w:hAnsi="Times New Roman"/>
                <w:sz w:val="20"/>
                <w:szCs w:val="20"/>
              </w:rPr>
              <w:t xml:space="preserve"> International AS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B4BF8">
              <w:rPr>
                <w:rFonts w:ascii="Times New Roman" w:hAnsi="Times New Roman"/>
                <w:sz w:val="20"/>
                <w:szCs w:val="20"/>
              </w:rPr>
              <w:t>W Ethics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Social Work, Statement of Principles.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lastRenderedPageBreak/>
              <w:t>Tolerate ambiguity in resolving ethical conflicts.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Apply strategies of ethical reasoning to arrive at principled decisions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#3:  Apply critical thinking to inform and communicate professional judgments.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Distinguish, appraise, and integrate multiple sources of knowledge, including research-based knowledge and practice wisdom.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Analyze models of assessment, prevention, intervention, and evaluation.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Demonstrate effective oral and written communication in working with individuals, families, groups, organization, communities, and colleagues.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35300B" w:rsidRPr="006A7047" w:rsidRDefault="0035300B" w:rsidP="00BA4B57">
            <w:pPr>
              <w:spacing w:after="0" w:line="240" w:lineRule="auto"/>
              <w:ind w:left="342" w:hanging="36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4:  Engage diversity and difference in practice.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Recognize the extent to which a culture’s structures and values may oppress, marginalize, alienate, or create /enhance privilege and power.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Gain sufficient self-awareness to eliminate the influence of personal biases and values in working with diverse groups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Recognize and communicate understanding of the importance of difference in shaping life experiences.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View themselves as learners and engage those with whom they work as informants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5:  Advance human rights and social and economic justice.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Understand the forms and mechanisms of oppression and discrimination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Advocate for human rights and social and economic justice.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Engage in practices that advance social and economic justice.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0212A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0212A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0212A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6:  Engage in research-informed practice and practice-informed research.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rPr>
          <w:trHeight w:val="872"/>
        </w:trPr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Use practice experience to inform scientific inquiry.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Use research evidence to inform practice.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ind w:left="3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7:  Apply knowledge of human behavior and the social environment.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Utilize conceptual frameworks to guide the processes of assessment, intervention, and evaluation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Critique and apply knowledge to understand person and environment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12AF" w:rsidRDefault="000212AF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8:  Engage in policy practice to advance social and economic well-being and to deliver effective social work services.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Analyze, formulate, and advocate for policies that advance social well-being.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lastRenderedPageBreak/>
              <w:t>Collaborate with colleagues and clients for effective policy action.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9:  Respond to contexts that shape practice. 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rPr>
          <w:trHeight w:val="1412"/>
        </w:trPr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Continuously discover, appraise and attend to changing locales, populations, scientific and technological developments, and emerging societal trends to provide relevant services.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 xml:space="preserve">Provide leadership in promoting sustainable changes in service to improve the quality of </w:t>
            </w:r>
            <w:r w:rsidR="00477085">
              <w:rPr>
                <w:rFonts w:ascii="Times New Roman" w:hAnsi="Times New Roman"/>
                <w:sz w:val="18"/>
                <w:szCs w:val="18"/>
              </w:rPr>
              <w:t xml:space="preserve">social </w:t>
            </w:r>
            <w:r w:rsidRPr="006A7047">
              <w:rPr>
                <w:rFonts w:ascii="Times New Roman" w:hAnsi="Times New Roman"/>
                <w:sz w:val="18"/>
                <w:szCs w:val="18"/>
              </w:rPr>
              <w:t>services.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8280"/>
        <w:gridCol w:w="990"/>
        <w:gridCol w:w="1080"/>
        <w:gridCol w:w="1080"/>
      </w:tblGrid>
      <w:tr w:rsidR="0035300B" w:rsidRPr="006A7047" w:rsidTr="00BA4B57">
        <w:tc>
          <w:tcPr>
            <w:tcW w:w="14328" w:type="dxa"/>
            <w:gridSpan w:val="5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Competency # 10:  Engage, assess, intervene, and evaluate with individuals, families, groups, organizations, and communities. 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Practice Behaviors</w:t>
            </w: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Activities</w:t>
            </w: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Target Date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Midterm Evaluation</w:t>
            </w: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7047">
              <w:rPr>
                <w:rFonts w:ascii="Times New Roman" w:hAnsi="Times New Roman"/>
                <w:b/>
                <w:sz w:val="18"/>
                <w:szCs w:val="18"/>
              </w:rPr>
              <w:t>Final Evaluation</w:t>
            </w: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 xml:space="preserve">Substantively and effectively prepare for </w:t>
            </w:r>
            <w:r w:rsidR="00477085">
              <w:rPr>
                <w:rFonts w:ascii="Times New Roman" w:hAnsi="Times New Roman"/>
                <w:sz w:val="18"/>
                <w:szCs w:val="18"/>
              </w:rPr>
              <w:t>action</w:t>
            </w:r>
            <w:r w:rsidRPr="006A7047">
              <w:rPr>
                <w:rFonts w:ascii="Times New Roman" w:hAnsi="Times New Roman"/>
                <w:sz w:val="18"/>
                <w:szCs w:val="18"/>
              </w:rPr>
              <w:t xml:space="preserve"> with </w:t>
            </w:r>
            <w:r w:rsidR="00477085">
              <w:rPr>
                <w:rFonts w:ascii="Times New Roman" w:hAnsi="Times New Roman"/>
                <w:sz w:val="18"/>
                <w:szCs w:val="18"/>
              </w:rPr>
              <w:t>individuals, families, groups, organizations, and communities</w:t>
            </w:r>
            <w:proofErr w:type="gramStart"/>
            <w:r w:rsidR="00477085">
              <w:rPr>
                <w:rFonts w:ascii="Times New Roman" w:hAnsi="Times New Roman"/>
                <w:sz w:val="18"/>
                <w:szCs w:val="18"/>
              </w:rPr>
              <w:t>.</w:t>
            </w:r>
            <w:r w:rsidRPr="006A704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Use empathy and interpersonal skills to engage clients</w:t>
            </w: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403B5" w:rsidRDefault="001403B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Pr="006A7047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Default="0035300B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Develop a mutually agreed upon focus of work and desires outcomes.</w:t>
            </w:r>
          </w:p>
          <w:p w:rsidR="00477085" w:rsidRDefault="00477085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Default="00477085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Pr="006A7047" w:rsidRDefault="00477085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Collect, organize, and interpret client data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Assess client strengths and limitations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Develop mutually agreed-on intervention goals and objectives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85" w:rsidRPr="006A7047" w:rsidTr="00BA4B57">
        <w:tc>
          <w:tcPr>
            <w:tcW w:w="2898" w:type="dxa"/>
            <w:shd w:val="clear" w:color="auto" w:fill="auto"/>
          </w:tcPr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Select appropriate intervention strategies </w:t>
            </w: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Initiate actions to achieve organizational goals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>Implement prevention interventions that enhance client capacities.</w:t>
            </w:r>
          </w:p>
        </w:tc>
        <w:tc>
          <w:tcPr>
            <w:tcW w:w="8280" w:type="dxa"/>
            <w:shd w:val="clear" w:color="auto" w:fill="auto"/>
          </w:tcPr>
          <w:p w:rsidR="0035300B" w:rsidRDefault="0035300B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Default="000212AF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  <w:p w:rsidR="000212AF" w:rsidRPr="006A7047" w:rsidRDefault="000212AF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00B" w:rsidRPr="006A7047" w:rsidTr="00BA4B57">
        <w:tc>
          <w:tcPr>
            <w:tcW w:w="2898" w:type="dxa"/>
            <w:shd w:val="clear" w:color="auto" w:fill="auto"/>
          </w:tcPr>
          <w:p w:rsidR="0035300B" w:rsidRDefault="0035300B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7047">
              <w:rPr>
                <w:rFonts w:ascii="Times New Roman" w:hAnsi="Times New Roman"/>
                <w:sz w:val="18"/>
                <w:szCs w:val="18"/>
              </w:rPr>
              <w:t xml:space="preserve">Help clients </w:t>
            </w:r>
            <w:r w:rsidR="00477085">
              <w:rPr>
                <w:rFonts w:ascii="Times New Roman" w:hAnsi="Times New Roman"/>
                <w:sz w:val="18"/>
                <w:szCs w:val="18"/>
              </w:rPr>
              <w:t>resolve problems</w:t>
            </w:r>
          </w:p>
          <w:p w:rsidR="00477085" w:rsidRDefault="00477085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Default="00477085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Pr="006A7047" w:rsidRDefault="00477085" w:rsidP="0047708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35300B" w:rsidRPr="006A7047" w:rsidRDefault="0035300B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300B" w:rsidRPr="006A7047" w:rsidRDefault="0035300B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85" w:rsidRPr="006A7047" w:rsidTr="00BA4B57">
        <w:tc>
          <w:tcPr>
            <w:tcW w:w="2898" w:type="dxa"/>
            <w:shd w:val="clear" w:color="auto" w:fill="auto"/>
          </w:tcPr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Negotiate, mediate, and advocate for clients</w:t>
            </w: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Pr="006A7047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477085" w:rsidRPr="006A7047" w:rsidRDefault="00477085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85" w:rsidRPr="006A7047" w:rsidTr="00BA4B57">
        <w:tc>
          <w:tcPr>
            <w:tcW w:w="2898" w:type="dxa"/>
            <w:shd w:val="clear" w:color="auto" w:fill="auto"/>
          </w:tcPr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Facilitate transitions and endings</w:t>
            </w: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477085" w:rsidRPr="006A7047" w:rsidRDefault="00477085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085" w:rsidRPr="006A7047" w:rsidTr="00BA4B57">
        <w:tc>
          <w:tcPr>
            <w:tcW w:w="2898" w:type="dxa"/>
            <w:shd w:val="clear" w:color="auto" w:fill="auto"/>
          </w:tcPr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Critically analyze, monitor, and evaluate interventions</w:t>
            </w: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77085" w:rsidRDefault="00477085" w:rsidP="00BA4B5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0" w:type="dxa"/>
            <w:shd w:val="clear" w:color="auto" w:fill="auto"/>
          </w:tcPr>
          <w:p w:rsidR="00477085" w:rsidRPr="006A7047" w:rsidRDefault="00477085" w:rsidP="00BA4B5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477085" w:rsidRPr="006A7047" w:rsidRDefault="00477085" w:rsidP="00BA4B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300B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0212AF" w:rsidRPr="002C4B5A" w:rsidRDefault="000212AF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  <w:r w:rsidRPr="002C4B5A">
        <w:rPr>
          <w:rFonts w:ascii="Times New Roman" w:hAnsi="Times New Roman"/>
          <w:sz w:val="18"/>
          <w:szCs w:val="18"/>
        </w:rPr>
        <w:t>Student Signature________________________________________________</w:t>
      </w: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  <w:r w:rsidRPr="002C4B5A">
        <w:rPr>
          <w:rFonts w:ascii="Times New Roman" w:hAnsi="Times New Roman"/>
          <w:sz w:val="18"/>
          <w:szCs w:val="18"/>
        </w:rPr>
        <w:t>Field Instructor Signature__________________________________________</w:t>
      </w:r>
    </w:p>
    <w:p w:rsidR="0035300B" w:rsidRPr="002C4B5A" w:rsidRDefault="0035300B" w:rsidP="0035300B">
      <w:pPr>
        <w:contextualSpacing/>
        <w:rPr>
          <w:rFonts w:ascii="Times New Roman" w:hAnsi="Times New Roman"/>
          <w:sz w:val="18"/>
          <w:szCs w:val="18"/>
        </w:rPr>
      </w:pPr>
    </w:p>
    <w:p w:rsidR="0036244F" w:rsidRPr="00477085" w:rsidRDefault="0035300B">
      <w:pPr>
        <w:contextualSpacing/>
        <w:rPr>
          <w:rFonts w:ascii="Times New Roman" w:hAnsi="Times New Roman"/>
          <w:sz w:val="18"/>
          <w:szCs w:val="18"/>
        </w:rPr>
      </w:pPr>
      <w:r w:rsidRPr="002C4B5A">
        <w:rPr>
          <w:rFonts w:ascii="Times New Roman" w:hAnsi="Times New Roman"/>
          <w:sz w:val="18"/>
          <w:szCs w:val="18"/>
        </w:rPr>
        <w:t>Date___________________________________________</w:t>
      </w:r>
    </w:p>
    <w:sectPr w:rsidR="0036244F" w:rsidRPr="00477085" w:rsidSect="002C4B5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10" w:rsidRDefault="000C7010" w:rsidP="0035300B">
      <w:pPr>
        <w:spacing w:after="0" w:line="240" w:lineRule="auto"/>
      </w:pPr>
      <w:r>
        <w:separator/>
      </w:r>
    </w:p>
  </w:endnote>
  <w:endnote w:type="continuationSeparator" w:id="0">
    <w:p w:rsidR="000C7010" w:rsidRDefault="000C7010" w:rsidP="0035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10" w:rsidRDefault="000C7010" w:rsidP="0035300B">
      <w:pPr>
        <w:spacing w:after="0" w:line="240" w:lineRule="auto"/>
      </w:pPr>
      <w:r>
        <w:separator/>
      </w:r>
    </w:p>
  </w:footnote>
  <w:footnote w:type="continuationSeparator" w:id="0">
    <w:p w:rsidR="000C7010" w:rsidRDefault="000C7010" w:rsidP="0035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74" w:rsidRPr="00E1097D" w:rsidRDefault="0021094A" w:rsidP="00970FDA">
    <w:pPr>
      <w:pStyle w:val="Header"/>
      <w:tabs>
        <w:tab w:val="clear" w:pos="4680"/>
        <w:tab w:val="clear" w:pos="9360"/>
        <w:tab w:val="right" w:pos="11700"/>
      </w:tabs>
      <w:jc w:val="center"/>
      <w:rPr>
        <w:sz w:val="16"/>
        <w:szCs w:val="16"/>
      </w:rPr>
    </w:pPr>
    <w:r>
      <w:rPr>
        <w:sz w:val="48"/>
        <w:szCs w:val="48"/>
      </w:rPr>
      <w:t>L</w:t>
    </w:r>
    <w:r w:rsidRPr="00E1097D">
      <w:rPr>
        <w:sz w:val="48"/>
        <w:szCs w:val="48"/>
      </w:rPr>
      <w:t>EARNING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7D"/>
    <w:multiLevelType w:val="hybridMultilevel"/>
    <w:tmpl w:val="4E1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0B"/>
    <w:rsid w:val="000049AA"/>
    <w:rsid w:val="000212AF"/>
    <w:rsid w:val="000C7010"/>
    <w:rsid w:val="001403B5"/>
    <w:rsid w:val="001404F9"/>
    <w:rsid w:val="0021094A"/>
    <w:rsid w:val="002A2BE5"/>
    <w:rsid w:val="0035300B"/>
    <w:rsid w:val="0036244F"/>
    <w:rsid w:val="00477085"/>
    <w:rsid w:val="00533F4C"/>
    <w:rsid w:val="005A16CA"/>
    <w:rsid w:val="006777A1"/>
    <w:rsid w:val="00760749"/>
    <w:rsid w:val="007725A0"/>
    <w:rsid w:val="00826CFC"/>
    <w:rsid w:val="008A146C"/>
    <w:rsid w:val="008A560A"/>
    <w:rsid w:val="009346DE"/>
    <w:rsid w:val="00A8403B"/>
    <w:rsid w:val="00AF62E7"/>
    <w:rsid w:val="00B343DB"/>
    <w:rsid w:val="00E849A4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0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0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00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 Perone</dc:creator>
  <cp:lastModifiedBy>Katherine E Perone</cp:lastModifiedBy>
  <cp:revision>3</cp:revision>
  <cp:lastPrinted>2015-05-04T12:12:00Z</cp:lastPrinted>
  <dcterms:created xsi:type="dcterms:W3CDTF">2016-08-13T13:44:00Z</dcterms:created>
  <dcterms:modified xsi:type="dcterms:W3CDTF">2016-08-13T14:34:00Z</dcterms:modified>
</cp:coreProperties>
</file>